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فسخ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عقد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كراء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بين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الموقعين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أسفله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Times" w:cs="Times" w:eastAsia="Times" w:hAnsi="Times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السيد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الكامل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الحامل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لبطاقة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الساكن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rFonts w:ascii="Times" w:cs="Times" w:eastAsia="Times" w:hAnsi="Times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***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***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Times" w:cs="Times" w:eastAsia="Times" w:hAnsi="Times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السيد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الكامل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الحامل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لبطاقة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الساكن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rFonts w:ascii="Times" w:cs="Times" w:eastAsia="Times" w:hAnsi="Times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***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***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rFonts w:ascii="Times" w:cs="Times" w:eastAsia="Times" w:hAnsi="Times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تم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الاتفاق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ما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يلي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نشهد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الوثيقة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الضمانات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الفعلية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أننا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قمنا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بفسخ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كليا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نهائيا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الموقع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بيننا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عقد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كراء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المسجل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 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والمتعلق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بالمحل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التجاري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الكائن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التزم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أفرغ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المحل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التجاري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 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بدون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تماطل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تأخير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نوقع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الفسخ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إنهاء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بدون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تأكيد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سبق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ذكره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تصديقا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توقيع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:                                     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توقيع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: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